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66" w:rsidRDefault="00DE0166" w:rsidP="00DE0166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28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10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DE0166" w:rsidRPr="00954C17" w:rsidRDefault="00DE0166" w:rsidP="00DE0166">
      <w:pPr>
        <w:jc w:val="center"/>
        <w:rPr>
          <w:rFonts w:hint="eastAsia"/>
          <w:sz w:val="28"/>
          <w:szCs w:val="28"/>
        </w:rPr>
      </w:pPr>
      <w:r w:rsidRPr="00954C17">
        <w:rPr>
          <w:rFonts w:hint="eastAsia"/>
          <w:sz w:val="28"/>
          <w:szCs w:val="28"/>
        </w:rPr>
        <w:t>《念奴娇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赤壁怀古》《永遇乐</w:t>
      </w:r>
      <w:r w:rsidRPr="00954C17">
        <w:rPr>
          <w:rFonts w:hint="eastAsia"/>
          <w:sz w:val="28"/>
          <w:szCs w:val="28"/>
        </w:rPr>
        <w:t>.</w:t>
      </w:r>
      <w:r w:rsidRPr="00954C17">
        <w:rPr>
          <w:rFonts w:hint="eastAsia"/>
          <w:sz w:val="28"/>
          <w:szCs w:val="28"/>
        </w:rPr>
        <w:t>京口北固亭怀古》</w:t>
      </w:r>
      <w:r>
        <w:rPr>
          <w:rFonts w:hint="eastAsia"/>
          <w:sz w:val="28"/>
          <w:szCs w:val="28"/>
        </w:rPr>
        <w:t>答案</w:t>
      </w:r>
      <w:r>
        <w:rPr>
          <w:sz w:val="28"/>
          <w:szCs w:val="28"/>
        </w:rPr>
        <w:t>与解析</w:t>
      </w:r>
    </w:p>
    <w:p w:rsidR="00D57904" w:rsidRDefault="00D57904" w:rsidP="007164D1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ascii="Times New Roman" w:eastAsia="黑体" w:hAnsi="Times New Roman" w:cs="Times New Roman"/>
          <w:color w:val="FF0000"/>
          <w:sz w:val="24"/>
          <w:szCs w:val="24"/>
        </w:rPr>
      </w:pPr>
    </w:p>
    <w:p w:rsidR="007164D1" w:rsidRDefault="007164D1" w:rsidP="007164D1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hAnsi="宋体" w:cs="Times New Roman"/>
          <w:color w:val="000000" w:themeColor="text1"/>
          <w:sz w:val="24"/>
          <w:szCs w:val="24"/>
        </w:rPr>
      </w:pPr>
      <w:r w:rsidRPr="007164D1">
        <w:rPr>
          <w:rFonts w:hAnsi="宋体" w:cs="Times New Roman" w:hint="eastAsia"/>
          <w:color w:val="000000" w:themeColor="text1"/>
          <w:sz w:val="24"/>
          <w:szCs w:val="24"/>
        </w:rPr>
        <w:t>一</w:t>
      </w:r>
      <w:r w:rsidRPr="007164D1">
        <w:rPr>
          <w:rFonts w:hAnsi="宋体" w:cs="Times New Roman"/>
          <w:color w:val="000000" w:themeColor="text1"/>
          <w:sz w:val="24"/>
          <w:szCs w:val="24"/>
        </w:rPr>
        <w:t>、</w:t>
      </w:r>
      <w:r>
        <w:rPr>
          <w:rFonts w:hAnsi="宋体" w:cs="Times New Roman" w:hint="eastAsia"/>
          <w:color w:val="000000" w:themeColor="text1"/>
          <w:sz w:val="24"/>
          <w:szCs w:val="24"/>
        </w:rPr>
        <w:t>参考</w:t>
      </w:r>
      <w:r>
        <w:rPr>
          <w:rFonts w:hAnsi="宋体" w:cs="Times New Roman"/>
          <w:color w:val="000000" w:themeColor="text1"/>
          <w:sz w:val="24"/>
          <w:szCs w:val="24"/>
        </w:rPr>
        <w:t>答案：</w:t>
      </w:r>
    </w:p>
    <w:p w:rsidR="007164D1" w:rsidRPr="007164D1" w:rsidRDefault="007164D1" w:rsidP="007164D1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 w:val="24"/>
          <w:szCs w:val="24"/>
          <w:lang w:val="x-none"/>
        </w:rPr>
      </w:pPr>
      <w:r w:rsidRPr="007164D1">
        <w:rPr>
          <w:rFonts w:ascii="宋体" w:eastAsia="宋体" w:hAnsi="宋体" w:cs="Times New Roman" w:hint="eastAsia"/>
          <w:bCs/>
          <w:kern w:val="0"/>
          <w:sz w:val="24"/>
          <w:szCs w:val="24"/>
          <w:lang w:val="x-none"/>
        </w:rPr>
        <w:t>赤壁之景：</w:t>
      </w:r>
    </w:p>
    <w:p w:rsidR="007164D1" w:rsidRPr="007164D1" w:rsidRDefault="007164D1" w:rsidP="007164D1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 w:val="24"/>
          <w:szCs w:val="24"/>
          <w:lang w:val="x-none"/>
        </w:rPr>
      </w:pPr>
      <w:r w:rsidRPr="007164D1">
        <w:rPr>
          <w:rFonts w:ascii="宋体" w:eastAsia="宋体" w:hAnsi="宋体" w:cs="Times New Roman" w:hint="eastAsia"/>
          <w:bCs/>
          <w:kern w:val="0"/>
          <w:sz w:val="24"/>
          <w:szCs w:val="24"/>
          <w:lang w:val="x-none"/>
        </w:rPr>
        <w:t>乱、穿——险怪、高俊</w:t>
      </w:r>
    </w:p>
    <w:p w:rsidR="007164D1" w:rsidRPr="007164D1" w:rsidRDefault="007164D1" w:rsidP="007164D1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 w:val="24"/>
          <w:szCs w:val="24"/>
          <w:lang w:val="x-none"/>
        </w:rPr>
      </w:pPr>
      <w:r w:rsidRPr="007164D1">
        <w:rPr>
          <w:rFonts w:ascii="宋体" w:eastAsia="宋体" w:hAnsi="宋体" w:cs="Times New Roman" w:hint="eastAsia"/>
          <w:bCs/>
          <w:kern w:val="0"/>
          <w:sz w:val="24"/>
          <w:szCs w:val="24"/>
          <w:lang w:val="x-none"/>
        </w:rPr>
        <w:t>惊、拍——汹涌、水石相击</w:t>
      </w:r>
    </w:p>
    <w:p w:rsidR="007164D1" w:rsidRPr="007164D1" w:rsidRDefault="007164D1" w:rsidP="007164D1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 w:val="24"/>
          <w:szCs w:val="24"/>
          <w:lang w:val="x-none"/>
        </w:rPr>
      </w:pPr>
      <w:r w:rsidRPr="007164D1">
        <w:rPr>
          <w:rFonts w:ascii="宋体" w:eastAsia="宋体" w:hAnsi="宋体" w:cs="Times New Roman" w:hint="eastAsia"/>
          <w:bCs/>
          <w:kern w:val="0"/>
          <w:sz w:val="24"/>
          <w:szCs w:val="24"/>
          <w:lang w:val="x-none"/>
        </w:rPr>
        <w:t>卷、雪——狂澜奔腾、水色纯白</w:t>
      </w:r>
    </w:p>
    <w:p w:rsidR="007164D1" w:rsidRPr="007164D1" w:rsidRDefault="007164D1" w:rsidP="007164D1">
      <w:pPr>
        <w:snapToGrid w:val="0"/>
        <w:spacing w:line="360" w:lineRule="auto"/>
        <w:rPr>
          <w:rFonts w:ascii="宋体" w:eastAsia="宋体" w:hAnsi="宋体" w:cs="Times New Roman"/>
          <w:bCs/>
          <w:kern w:val="0"/>
          <w:sz w:val="24"/>
          <w:szCs w:val="24"/>
          <w:lang w:val="x-none"/>
        </w:rPr>
      </w:pPr>
      <w:r w:rsidRPr="007164D1">
        <w:rPr>
          <w:rFonts w:ascii="宋体" w:eastAsia="宋体" w:hAnsi="宋体" w:cs="Times New Roman" w:hint="eastAsia"/>
          <w:bCs/>
          <w:kern w:val="0"/>
          <w:sz w:val="24"/>
          <w:szCs w:val="24"/>
          <w:lang w:val="x-none"/>
        </w:rPr>
        <w:t>周瑜形象：</w:t>
      </w:r>
    </w:p>
    <w:p w:rsidR="007164D1" w:rsidRPr="007164D1" w:rsidRDefault="007164D1" w:rsidP="007164D1">
      <w:pPr>
        <w:snapToGrid w:val="0"/>
        <w:spacing w:line="360" w:lineRule="auto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年轻有为、</w:t>
      </w:r>
      <w:r w:rsidRPr="007164D1">
        <w:rPr>
          <w:rFonts w:asciiTheme="minorEastAsia" w:hAnsiTheme="minorEastAsia" w:cs="Times New Roman"/>
          <w:bCs/>
          <w:sz w:val="24"/>
          <w:szCs w:val="24"/>
        </w:rPr>
        <w:t>叱</w:t>
      </w:r>
      <w:r w:rsidRPr="007164D1"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  <w:t>咤风云</w:t>
      </w:r>
      <w:r w:rsidRPr="007164D1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建功立业、春风得意、家庭幸福</w:t>
      </w:r>
    </w:p>
    <w:p w:rsidR="007164D1" w:rsidRPr="007164D1" w:rsidRDefault="007164D1" w:rsidP="007164D1">
      <w:pPr>
        <w:snapToGrid w:val="0"/>
        <w:spacing w:line="360" w:lineRule="auto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作者的情感：</w:t>
      </w:r>
      <w:r w:rsidRPr="007164D1">
        <w:rPr>
          <w:rFonts w:asciiTheme="minorEastAsia" w:hAnsiTheme="minorEastAsia" w:cs="Times New Roman" w:hint="eastAsia"/>
          <w:bCs/>
          <w:sz w:val="24"/>
          <w:szCs w:val="24"/>
        </w:rPr>
        <w:t>抒发了对往昔英雄人物的无限怀念和敬仰之情，对自身坎坷人生的感慨，</w:t>
      </w: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对建功立业的渴望之情。</w:t>
      </w:r>
      <w:r w:rsidRPr="007164D1">
        <w:rPr>
          <w:rFonts w:asciiTheme="minorEastAsia" w:hAnsiTheme="minorEastAsia"/>
          <w:sz w:val="24"/>
          <w:szCs w:val="24"/>
        </w:rPr>
        <w:tab/>
      </w:r>
    </w:p>
    <w:p w:rsidR="007164D1" w:rsidRPr="007164D1" w:rsidRDefault="007164D1" w:rsidP="007164D1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  <w:lang w:val="x-none"/>
        </w:rPr>
      </w:pPr>
    </w:p>
    <w:p w:rsidR="007164D1" w:rsidRPr="007164D1" w:rsidRDefault="007164D1" w:rsidP="007164D1">
      <w:pPr>
        <w:pStyle w:val="a5"/>
        <w:tabs>
          <w:tab w:val="left" w:pos="4140"/>
          <w:tab w:val="left" w:pos="7020"/>
        </w:tabs>
        <w:snapToGrid w:val="0"/>
        <w:spacing w:line="360" w:lineRule="auto"/>
        <w:rPr>
          <w:rFonts w:asciiTheme="minorEastAsia" w:eastAsiaTheme="minorEastAsia" w:hAnsiTheme="minorEastAsia" w:cs="Times New Roman" w:hint="eastAsia"/>
          <w:bCs/>
          <w:kern w:val="0"/>
          <w:sz w:val="24"/>
          <w:szCs w:val="24"/>
          <w:lang w:val="x-none"/>
        </w:rPr>
      </w:pPr>
      <w:r w:rsidRPr="007164D1">
        <w:rPr>
          <w:rFonts w:asciiTheme="minorEastAsia" w:eastAsiaTheme="minorEastAsia" w:hAnsiTheme="minorEastAsia" w:cs="Times New Roman" w:hint="eastAsia"/>
          <w:bCs/>
          <w:kern w:val="0"/>
          <w:sz w:val="24"/>
          <w:szCs w:val="24"/>
          <w:lang w:val="x-none"/>
        </w:rPr>
        <w:t>二、</w:t>
      </w:r>
      <w:r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  <w:t>参考答案：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4"/>
        <w:gridCol w:w="2390"/>
        <w:gridCol w:w="2390"/>
        <w:gridCol w:w="2390"/>
      </w:tblGrid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人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物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典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故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关键词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句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典故的作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用</w:t>
            </w:r>
          </w:p>
        </w:tc>
      </w:tr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孙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权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曾经在京口建立吴都，并打败曹操军队，保卫了家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园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英雄、风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表现作者心中渴望抗敌救国的热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情</w:t>
            </w:r>
          </w:p>
        </w:tc>
      </w:tr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刘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裕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在京口起兵，最后建立政权，为恢复中原，他曾大举北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伐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金戈铁马、气吞万里如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虎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表达作者收复中原的远大抱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负</w:t>
            </w:r>
          </w:p>
        </w:tc>
      </w:tr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刘义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隆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在元嘉二十七年，草率出师北伐，结果落得北望敌军而仓皇败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还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草草、赢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得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借鉴历史，委婉劝韩</w:t>
            </w:r>
            <w:r w:rsidRPr="007164D1">
              <w:rPr>
                <w:rFonts w:ascii="宋体" w:eastAsia="宋体" w:hAnsi="宋体" w:cs="Courier New" w:hint="eastAsia"/>
                <w:bCs/>
                <w:sz w:val="24"/>
                <w:szCs w:val="24"/>
              </w:rPr>
              <w:t>侂</w:t>
            </w:r>
            <w:r w:rsidRPr="007164D1">
              <w:rPr>
                <w:rFonts w:ascii="宋体" w:eastAsia="宋体" w:hAnsi="宋体" w:cs="Courier New"/>
                <w:bCs/>
                <w:sz w:val="24"/>
                <w:szCs w:val="24"/>
              </w:rPr>
              <w:t>胄不能草率行事</w:t>
            </w:r>
          </w:p>
        </w:tc>
      </w:tr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拓跋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焘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拓跋焘击败王玄谟军队后，追击至瓜步山，在山上建立行宫，即后来的佛狸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可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堪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表达对南宋政权不图恢复中原的不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满</w:t>
            </w:r>
          </w:p>
        </w:tc>
      </w:tr>
      <w:tr w:rsidR="007164D1" w:rsidRPr="00AF291B" w:rsidTr="001A254C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lastRenderedPageBreak/>
              <w:t>廉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颇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《史记·廉颇蔺相如列传》记载：</w:t>
            </w:r>
            <w:r w:rsidRPr="007164D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“</w:t>
            </w: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廉将军虽老，尚善饭，然与臣坐，顷之三遗矢矣。</w:t>
            </w:r>
            <w:r w:rsidRPr="007164D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”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凭谁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问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D1" w:rsidRPr="007164D1" w:rsidRDefault="007164D1" w:rsidP="001A254C">
            <w:pPr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164D1">
              <w:rPr>
                <w:rFonts w:ascii="宋体" w:eastAsia="宋体" w:hAnsi="宋体" w:cs="Times New Roman"/>
                <w:bCs/>
                <w:sz w:val="24"/>
                <w:szCs w:val="24"/>
              </w:rPr>
              <w:t>以廉颇自比，虽已年老仍想为国效力但不得，抒发了他壮志未酬的苦</w:t>
            </w:r>
            <w:r w:rsidRPr="007164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闷</w:t>
            </w:r>
          </w:p>
        </w:tc>
      </w:tr>
    </w:tbl>
    <w:p w:rsidR="007164D1" w:rsidRPr="007164D1" w:rsidRDefault="007164D1" w:rsidP="007164D1">
      <w:pPr>
        <w:spacing w:line="360" w:lineRule="auto"/>
        <w:rPr>
          <w:rFonts w:asciiTheme="minorEastAsia" w:hAnsiTheme="minorEastAsia" w:cs="Times New Roman"/>
          <w:bCs/>
          <w:kern w:val="0"/>
          <w:sz w:val="24"/>
          <w:szCs w:val="24"/>
        </w:rPr>
      </w:pPr>
    </w:p>
    <w:p w:rsidR="007164D1" w:rsidRDefault="007164D1" w:rsidP="007164D1">
      <w:pPr>
        <w:spacing w:line="360" w:lineRule="auto"/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</w:pPr>
      <w:r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三</w:t>
      </w:r>
      <w:r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  <w:t>、参考答案：</w:t>
      </w:r>
    </w:p>
    <w:p w:rsidR="00911F9C" w:rsidRPr="007164D1" w:rsidRDefault="00911F9C" w:rsidP="007164D1">
      <w:pPr>
        <w:spacing w:line="360" w:lineRule="auto"/>
        <w:ind w:firstLineChars="200" w:firstLine="480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苏轼：天才、渊博、超逸、达观。他有儒家所提倡的社会责任感，深切关注百姓疾苦，充满正气，如《水调歌头》中写的“</w:t>
      </w:r>
      <w:r w:rsidRPr="007164D1"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  <w:t>一点浩然气，千里快哉风</w:t>
      </w: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”。他两次遭遇贬谪，在道家文化和佛家文化中得到精</w:t>
      </w:r>
      <w:bookmarkStart w:id="0" w:name="_GoBack"/>
      <w:bookmarkEnd w:id="0"/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神解脱，以平常心对待生活中的各种磨难，活出了洒脱豪放，如《定风波》中写的“也无风雨也无晴”。</w:t>
      </w:r>
    </w:p>
    <w:p w:rsidR="00911F9C" w:rsidRPr="007164D1" w:rsidRDefault="00911F9C" w:rsidP="007164D1">
      <w:pPr>
        <w:spacing w:line="360" w:lineRule="auto"/>
        <w:ind w:firstLineChars="200" w:firstLine="480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辛弃疾：豪放词人、军事家、政治家，富有强烈的爱国主义情感。一生力主抗金，可是英雄无用武之地，他将满腔的愤懑付诸笔端，渴望实现杀敌立功的雄心和报国之志，“天下英雄谁敌手，曹刘，生子当如孙仲谋”；他的词作描绘田园风光、世俗民情，如“</w:t>
      </w:r>
      <w:r w:rsidRPr="007164D1"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  <w:t>稻花香里说丰年，听取蛙声一片</w:t>
      </w:r>
      <w:r w:rsidRPr="007164D1">
        <w:rPr>
          <w:rFonts w:asciiTheme="minorEastAsia" w:hAnsiTheme="minorEastAsia" w:cs="Times New Roman" w:hint="eastAsia"/>
          <w:bCs/>
          <w:kern w:val="0"/>
          <w:sz w:val="24"/>
          <w:szCs w:val="24"/>
          <w:lang w:val="x-none"/>
        </w:rPr>
        <w:t>”，不乏细腻柔媚，从中可见他热爱生活、乐观积极的人生态度。辛弃疾正如后人的评价“人中之杰，词中之龙”。</w:t>
      </w:r>
    </w:p>
    <w:p w:rsidR="00911F9C" w:rsidRPr="007164D1" w:rsidRDefault="00911F9C" w:rsidP="007164D1">
      <w:pPr>
        <w:spacing w:line="360" w:lineRule="auto"/>
        <w:ind w:firstLineChars="200" w:firstLine="480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</w:p>
    <w:p w:rsidR="00071EEE" w:rsidRPr="007164D1" w:rsidRDefault="00071EEE" w:rsidP="007164D1">
      <w:pPr>
        <w:spacing w:line="360" w:lineRule="auto"/>
        <w:ind w:firstLineChars="200" w:firstLine="480"/>
        <w:rPr>
          <w:rFonts w:asciiTheme="minorEastAsia" w:hAnsiTheme="minorEastAsia" w:cs="Times New Roman"/>
          <w:bCs/>
          <w:kern w:val="0"/>
          <w:sz w:val="24"/>
          <w:szCs w:val="24"/>
          <w:lang w:val="x-none"/>
        </w:rPr>
      </w:pPr>
    </w:p>
    <w:sectPr w:rsidR="00071EEE" w:rsidRPr="0071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6B" w:rsidRDefault="00FB366B" w:rsidP="007E21CC">
      <w:r>
        <w:separator/>
      </w:r>
    </w:p>
  </w:endnote>
  <w:endnote w:type="continuationSeparator" w:id="0">
    <w:p w:rsidR="00FB366B" w:rsidRDefault="00FB366B" w:rsidP="007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6B" w:rsidRDefault="00FB366B" w:rsidP="007E21CC">
      <w:r>
        <w:separator/>
      </w:r>
    </w:p>
  </w:footnote>
  <w:footnote w:type="continuationSeparator" w:id="0">
    <w:p w:rsidR="00FB366B" w:rsidRDefault="00FB366B" w:rsidP="007E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1B"/>
    <w:rsid w:val="00007D08"/>
    <w:rsid w:val="00071EEE"/>
    <w:rsid w:val="000A6535"/>
    <w:rsid w:val="00143B4C"/>
    <w:rsid w:val="0017164B"/>
    <w:rsid w:val="001A5761"/>
    <w:rsid w:val="00407D85"/>
    <w:rsid w:val="00420E8E"/>
    <w:rsid w:val="00472026"/>
    <w:rsid w:val="004B443C"/>
    <w:rsid w:val="004C626B"/>
    <w:rsid w:val="0058258F"/>
    <w:rsid w:val="006676E1"/>
    <w:rsid w:val="007164D1"/>
    <w:rsid w:val="007E21CC"/>
    <w:rsid w:val="00911F9C"/>
    <w:rsid w:val="009949B3"/>
    <w:rsid w:val="009A251B"/>
    <w:rsid w:val="009D7355"/>
    <w:rsid w:val="00D57904"/>
    <w:rsid w:val="00DE0166"/>
    <w:rsid w:val="00EB1D8A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8A147-EFA6-492C-93A2-0EAC7A0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1CC"/>
    <w:rPr>
      <w:sz w:val="18"/>
      <w:szCs w:val="18"/>
    </w:rPr>
  </w:style>
  <w:style w:type="paragraph" w:styleId="a5">
    <w:name w:val="Plain Text"/>
    <w:basedOn w:val="a"/>
    <w:link w:val="Char1"/>
    <w:rsid w:val="007E21C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E21C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2020-02-12T02:33:00Z</dcterms:created>
  <dcterms:modified xsi:type="dcterms:W3CDTF">2020-02-12T02:33:00Z</dcterms:modified>
</cp:coreProperties>
</file>