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5A" w:rsidRPr="00F438CF" w:rsidRDefault="00F438CF" w:rsidP="00F438CF">
      <w:pPr>
        <w:spacing w:line="300" w:lineRule="auto"/>
        <w:ind w:left="420" w:firstLineChars="200" w:firstLine="422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F438CF">
        <w:rPr>
          <w:rFonts w:asciiTheme="minorEastAsia" w:eastAsiaTheme="minorEastAsia" w:hAnsiTheme="minorEastAsia" w:hint="eastAsia"/>
          <w:b/>
          <w:sz w:val="21"/>
          <w:szCs w:val="21"/>
          <w:highlight w:val="yellow"/>
        </w:rPr>
        <w:t>中外历史纲要（上）第一单元 拓展性作业</w:t>
      </w:r>
    </w:p>
    <w:p w:rsidR="00AC6ACB" w:rsidRPr="00F438CF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史料解读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2E0CEC">
        <w:rPr>
          <w:rFonts w:asciiTheme="minorEastAsia" w:eastAsiaTheme="minorEastAsia" w:hAnsiTheme="minorEastAsia" w:hint="eastAsia"/>
          <w:sz w:val="21"/>
          <w:szCs w:val="21"/>
        </w:rPr>
        <w:t>1.私有制的产生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b/>
          <w:sz w:val="21"/>
          <w:szCs w:val="21"/>
        </w:rPr>
        <w:t>史料</w:t>
      </w:r>
      <w:r w:rsidRPr="002E0CEC">
        <w:rPr>
          <w:rFonts w:ascii="楷体" w:eastAsia="楷体" w:hAnsi="楷体" w:hint="eastAsia"/>
          <w:sz w:val="21"/>
          <w:szCs w:val="21"/>
        </w:rPr>
        <w:t xml:space="preserve">　事实证明，私有制不是从来就有的，而是社会生产力发展到一定历史阶段的产物。对原始公有制来讲，这是一个伟大的历史进步。“财产的差别，通过世袭显贵和王权的最初萌芽的形成，对社会制度发生反作用”。因此，私有制的出现和发展，不仅促进了生产发展，还导致了父权制确立，氏族制度瓦解，加速了阶级的形成，为文明到来开拓了道路。而且，也为后来的剥削制度奠定了最早的基础。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sz w:val="21"/>
          <w:szCs w:val="21"/>
        </w:rPr>
        <w:t>——宋兆麟《中国原始社会史》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2E0CEC">
        <w:rPr>
          <w:rFonts w:asciiTheme="minorEastAsia" w:eastAsiaTheme="minorEastAsia" w:hAnsiTheme="minorEastAsia" w:hint="eastAsia"/>
          <w:sz w:val="21"/>
          <w:szCs w:val="21"/>
        </w:rPr>
        <w:t>私有制是生产力发展到一定阶段的产物，是历史的进步，推动了文明的发展。</w:t>
      </w:r>
    </w:p>
    <w:p w:rsidR="00AC6ACB" w:rsidRDefault="00AC6ACB" w:rsidP="00AC6ACB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2.“百家争鸣”的形成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b/>
          <w:sz w:val="21"/>
          <w:szCs w:val="21"/>
        </w:rPr>
        <w:t xml:space="preserve">史料　</w:t>
      </w:r>
      <w:r w:rsidRPr="002E0CEC">
        <w:rPr>
          <w:rFonts w:ascii="楷体" w:eastAsia="楷体" w:hAnsi="楷体" w:hint="eastAsia"/>
          <w:sz w:val="21"/>
          <w:szCs w:val="21"/>
        </w:rPr>
        <w:t>诸子百家所争论的问题主要是天道观、认识论、名实关系、社会伦理、礼与法以及各种政治学说。每一问题的争论，对立的两方也并非就是整齐划一，每一方本身在具体问题上也存在着不同的观点。在争鸣中，儒与墨、儒与法、儒与道之间，固然是互相对立，但又互相摄取。如儒家荀子的“礼”是吸取了法家“法”的内容；法家韩非的“道”是改造了道家老子的“道”；后来封建社会中的儒法合流，也是在这种百家争鸣的互相对立、互相吸取的过程中形成的。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sz w:val="21"/>
          <w:szCs w:val="21"/>
        </w:rPr>
        <w:t>——</w:t>
      </w:r>
      <w:proofErr w:type="gramStart"/>
      <w:r w:rsidRPr="002E0CEC">
        <w:rPr>
          <w:rFonts w:ascii="楷体" w:eastAsia="楷体" w:hAnsi="楷体" w:hint="eastAsia"/>
          <w:sz w:val="21"/>
          <w:szCs w:val="21"/>
        </w:rPr>
        <w:t>唐宇元《春秋战国时期的百家争鸣》</w:t>
      </w:r>
      <w:proofErr w:type="gramEnd"/>
      <w:r w:rsidRPr="002E0CEC">
        <w:rPr>
          <w:rFonts w:ascii="楷体" w:eastAsia="楷体" w:hAnsi="楷体" w:hint="eastAsia"/>
          <w:sz w:val="21"/>
          <w:szCs w:val="21"/>
        </w:rPr>
        <w:t>(1981年)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2E0CEC">
        <w:rPr>
          <w:rFonts w:asciiTheme="minorEastAsia" w:eastAsiaTheme="minorEastAsia" w:hAnsiTheme="minorEastAsia" w:hint="eastAsia"/>
          <w:sz w:val="21"/>
          <w:szCs w:val="21"/>
        </w:rPr>
        <w:t>“百家争鸣”中，各学派互相批驳的同时，彼此吸取，奠定了中国传统文化的基础。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3.秦统一的意义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b/>
          <w:sz w:val="21"/>
          <w:szCs w:val="21"/>
        </w:rPr>
        <w:t>史料</w:t>
      </w:r>
      <w:r w:rsidRPr="002E0CEC">
        <w:rPr>
          <w:rFonts w:ascii="楷体" w:eastAsia="楷体" w:hAnsi="楷体" w:hint="eastAsia"/>
          <w:sz w:val="21"/>
          <w:szCs w:val="21"/>
        </w:rPr>
        <w:t xml:space="preserve">　秦王朝建立后，实行了一系列社会整合的制度和政策，如“书同文”、“车同轨”、统一度量衡、制定统一的国家律法等。其中，文字的统一对中国社会产生的影响尤为深刻。秦统一中国和对社会的整合，不仅开启了中国统一的历史大趋势，而且其地域的稳定性和社会、经济、文化的同一性加速了中原地区华夏民族的整合进程，并在后来的历史发展中形成了中国人口最多的汉族，汉文化也成为中国的主体文化。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sz w:val="21"/>
          <w:szCs w:val="21"/>
        </w:rPr>
        <w:t>——郝时远《实行民族区域自治是立足国情的马克思主义中国化成就》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2E0CEC">
        <w:rPr>
          <w:rFonts w:asciiTheme="minorEastAsia" w:eastAsiaTheme="minorEastAsia" w:hAnsiTheme="minorEastAsia" w:hint="eastAsia"/>
          <w:sz w:val="21"/>
          <w:szCs w:val="21"/>
        </w:rPr>
        <w:t>秦王朝一系列社会整合的制度和政策巩固了统一，加速了以华夏族为主体的中华民族的形成。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4.对匈奴战争的胜利及西域都护的设立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b/>
          <w:sz w:val="21"/>
          <w:szCs w:val="21"/>
        </w:rPr>
        <w:t>史料</w:t>
      </w:r>
      <w:r w:rsidRPr="002E0CEC">
        <w:rPr>
          <w:rFonts w:ascii="楷体" w:eastAsia="楷体" w:hAnsi="楷体" w:hint="eastAsia"/>
          <w:sz w:val="21"/>
          <w:szCs w:val="21"/>
        </w:rPr>
        <w:t xml:space="preserve">　</w:t>
      </w:r>
      <w:proofErr w:type="gramStart"/>
      <w:r w:rsidRPr="002E0CEC">
        <w:rPr>
          <w:rFonts w:ascii="楷体" w:eastAsia="楷体" w:hAnsi="楷体" w:hint="eastAsia"/>
          <w:sz w:val="21"/>
          <w:szCs w:val="21"/>
        </w:rPr>
        <w:t>汉朝对</w:t>
      </w:r>
      <w:proofErr w:type="gramEnd"/>
      <w:r w:rsidRPr="002E0CEC">
        <w:rPr>
          <w:rFonts w:ascii="楷体" w:eastAsia="楷体" w:hAnsi="楷体" w:hint="eastAsia"/>
          <w:sz w:val="21"/>
          <w:szCs w:val="21"/>
        </w:rPr>
        <w:t>匈奴奴隶主贵族的胜利，汉西域都护的设置，使西域各族人民摆脱了匈奴落后制度的束缚，加强了汉和西域的联系，有利于西域</w:t>
      </w:r>
      <w:proofErr w:type="gramStart"/>
      <w:r w:rsidRPr="002E0CEC">
        <w:rPr>
          <w:rFonts w:ascii="楷体" w:eastAsia="楷体" w:hAnsi="楷体" w:hint="eastAsia"/>
          <w:sz w:val="21"/>
          <w:szCs w:val="21"/>
        </w:rPr>
        <w:t>各族和</w:t>
      </w:r>
      <w:proofErr w:type="gramEnd"/>
      <w:r w:rsidRPr="002E0CEC">
        <w:rPr>
          <w:rFonts w:ascii="楷体" w:eastAsia="楷体" w:hAnsi="楷体" w:hint="eastAsia"/>
          <w:sz w:val="21"/>
          <w:szCs w:val="21"/>
        </w:rPr>
        <w:t>汉族经济文化的交流，对维护祖国的统一和西域</w:t>
      </w:r>
      <w:proofErr w:type="gramStart"/>
      <w:r w:rsidRPr="002E0CEC">
        <w:rPr>
          <w:rFonts w:ascii="楷体" w:eastAsia="楷体" w:hAnsi="楷体" w:hint="eastAsia"/>
          <w:sz w:val="21"/>
          <w:szCs w:val="21"/>
        </w:rPr>
        <w:t>各族经济</w:t>
      </w:r>
      <w:proofErr w:type="gramEnd"/>
      <w:r w:rsidRPr="002E0CEC">
        <w:rPr>
          <w:rFonts w:ascii="楷体" w:eastAsia="楷体" w:hAnsi="楷体" w:hint="eastAsia"/>
          <w:sz w:val="21"/>
          <w:szCs w:val="21"/>
        </w:rPr>
        <w:t>文化的发展，起了积极的作用。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sz w:val="21"/>
          <w:szCs w:val="21"/>
        </w:rPr>
        <w:t>——郭沫若主编《中国史稿》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2E0CEC">
        <w:rPr>
          <w:rFonts w:asciiTheme="minorEastAsia" w:eastAsiaTheme="minorEastAsia" w:hAnsiTheme="minorEastAsia" w:hint="eastAsia"/>
          <w:sz w:val="21"/>
          <w:szCs w:val="21"/>
        </w:rPr>
        <w:t>汉武帝打败了匈奴，夺取了适合农耕的河西走廊。如果没有河西走廊，中国的疆域就不会发展到中亚。西域都护的设置更是维护了祖国的统一。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5.外戚宦官专权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b/>
          <w:sz w:val="21"/>
          <w:szCs w:val="21"/>
        </w:rPr>
        <w:t xml:space="preserve">史料　</w:t>
      </w:r>
      <w:r w:rsidRPr="002E0CEC">
        <w:rPr>
          <w:rFonts w:ascii="楷体" w:eastAsia="楷体" w:hAnsi="楷体" w:hint="eastAsia"/>
          <w:sz w:val="21"/>
          <w:szCs w:val="21"/>
        </w:rPr>
        <w:t>东汉末，太子多年幼即位，年轻的太后临朝，不便接触大臣，不得不重用她娘家父兄来协助处理政事，这就为外戚窃取大权造成了机会。外戚自恃亲贵，骄横擅权，无视幼主，朝中大臣均仰承其鼻息行事。正如</w:t>
      </w:r>
      <w:proofErr w:type="gramStart"/>
      <w:r w:rsidRPr="002E0CEC">
        <w:rPr>
          <w:rFonts w:ascii="楷体" w:eastAsia="楷体" w:hAnsi="楷体" w:hint="eastAsia"/>
          <w:sz w:val="21"/>
          <w:szCs w:val="21"/>
        </w:rPr>
        <w:t>仲</w:t>
      </w:r>
      <w:proofErr w:type="gramEnd"/>
      <w:r w:rsidRPr="002E0CEC">
        <w:rPr>
          <w:rFonts w:ascii="楷体" w:eastAsia="楷体" w:hAnsi="楷体" w:hint="eastAsia"/>
          <w:sz w:val="21"/>
          <w:szCs w:val="21"/>
        </w:rPr>
        <w:t>长统所指出那样，他们“新其党类，用其私人，内充京师，外布列郡，颠倒贤愚，贸易选举”。他们为所欲为，简直不把皇帝放在眼里。及至皇帝成年懂事，不甘外戚胁持，为了把大权夺回到自己手中，就结纳在身边的心腹宦官，发动政变，除掉外戚。皇帝亲政后，自然重用夺权有功的宦官，于是又演成宦官专权的局面。可是，皇帝死后，宦官身份卑贱不能辅政，立新皇帝后，接着又有新的外戚上台。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sz w:val="21"/>
          <w:szCs w:val="21"/>
        </w:rPr>
        <w:t>——选自白寿彝《中国通史》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2E0CEC">
        <w:rPr>
          <w:rFonts w:asciiTheme="minorEastAsia" w:eastAsiaTheme="minorEastAsia" w:hAnsiTheme="minorEastAsia" w:hint="eastAsia"/>
          <w:sz w:val="21"/>
          <w:szCs w:val="21"/>
        </w:rPr>
        <w:t>围绕皇权的争夺而出现的外戚、宦官的起伏交替专政，成为东汉后期封建政权的一个特点。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AC6ACB" w:rsidRDefault="00AC6ACB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</w:p>
    <w:p w:rsidR="00AC6ACB" w:rsidRDefault="00AC6ACB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【</w:t>
      </w:r>
      <w:r w:rsidRPr="00AC6ACB">
        <w:rPr>
          <w:rFonts w:asciiTheme="minorEastAsia" w:eastAsiaTheme="minorEastAsia" w:hAnsiTheme="minorEastAsia" w:cs="宋体" w:hint="eastAsia"/>
          <w:b/>
          <w:i/>
          <w:sz w:val="21"/>
          <w:szCs w:val="21"/>
        </w:rPr>
        <w:t>问题探究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】</w:t>
      </w:r>
    </w:p>
    <w:p w:rsidR="00B5135A" w:rsidRDefault="00F438CF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F438CF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F438C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F438CF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  <w:shd w:val="clear" w:color="auto" w:fill="FFFFFF"/>
        </w:rPr>
        <w:t>2019年7月6日，</w:t>
      </w:r>
      <w:r w:rsidRPr="00F438CF">
        <w:rPr>
          <w:rFonts w:asciiTheme="minorEastAsia" w:eastAsiaTheme="minorEastAsia" w:hAnsiTheme="minorEastAsia" w:cs="宋体" w:hint="eastAsia"/>
          <w:b/>
          <w:color w:val="000000" w:themeColor="text1"/>
          <w:sz w:val="21"/>
          <w:szCs w:val="21"/>
          <w:shd w:val="clear" w:color="auto" w:fill="FFFFFF"/>
        </w:rPr>
        <w:t>中国</w:t>
      </w:r>
      <w:hyperlink r:id="rId9" w:tgtFrame="https://baike.baidu.com/item/%E8%89%AF%E6%B8%9A%E6%96%87%E5%8C%96/_blank" w:history="1">
        <w:r w:rsidRPr="00F438CF">
          <w:rPr>
            <w:rStyle w:val="a5"/>
            <w:rFonts w:asciiTheme="minorEastAsia" w:eastAsiaTheme="minorEastAsia" w:hAnsiTheme="minorEastAsia" w:cs="宋体" w:hint="eastAsia"/>
            <w:b/>
            <w:color w:val="000000" w:themeColor="text1"/>
            <w:sz w:val="21"/>
            <w:szCs w:val="21"/>
            <w:u w:val="none"/>
            <w:shd w:val="clear" w:color="auto" w:fill="FFFFFF"/>
          </w:rPr>
          <w:t>良渚文化遗址</w:t>
        </w:r>
      </w:hyperlink>
      <w:r w:rsidRPr="00F438CF">
        <w:rPr>
          <w:rFonts w:asciiTheme="minorEastAsia" w:eastAsiaTheme="minorEastAsia" w:hAnsiTheme="minorEastAsia" w:cs="宋体" w:hint="eastAsia"/>
          <w:b/>
          <w:color w:val="000000" w:themeColor="text1"/>
          <w:sz w:val="21"/>
          <w:szCs w:val="21"/>
          <w:shd w:val="clear" w:color="auto" w:fill="FFFFFF"/>
        </w:rPr>
        <w:t>获准列入</w:t>
      </w:r>
      <w:hyperlink r:id="rId10" w:tgtFrame="https://baike.baidu.com/item/%E8%89%AF%E6%B8%9A%E6%96%87%E5%8C%96/_blank" w:history="1">
        <w:r w:rsidRPr="00F438CF">
          <w:rPr>
            <w:rStyle w:val="a5"/>
            <w:rFonts w:asciiTheme="minorEastAsia" w:eastAsiaTheme="minorEastAsia" w:hAnsiTheme="minorEastAsia" w:cs="宋体" w:hint="eastAsia"/>
            <w:b/>
            <w:color w:val="000000" w:themeColor="text1"/>
            <w:sz w:val="21"/>
            <w:szCs w:val="21"/>
            <w:u w:val="none"/>
            <w:shd w:val="clear" w:color="auto" w:fill="FFFFFF"/>
          </w:rPr>
          <w:t>世界遗产名录</w:t>
        </w:r>
      </w:hyperlink>
      <w:r w:rsidRPr="00F438C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  <w:shd w:val="clear" w:color="auto" w:fill="FFFFFF"/>
        </w:rPr>
        <w:t>。请你</w:t>
      </w:r>
      <w:r w:rsidRPr="00F438CF">
        <w:rPr>
          <w:rFonts w:asciiTheme="minorEastAsia" w:eastAsiaTheme="minorEastAsia" w:hAnsiTheme="minorEastAsia" w:hint="eastAsia"/>
          <w:sz w:val="21"/>
          <w:szCs w:val="21"/>
        </w:rPr>
        <w:t>利用网络资源、书籍等，了解良渚文化考古的发现，谈谈良渚文化遗存发掘的意义。</w:t>
      </w:r>
    </w:p>
    <w:p w:rsidR="00F438CF" w:rsidRDefault="00F438CF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F438CF" w:rsidRDefault="00F438CF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F438CF" w:rsidRDefault="00F438CF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2E0CEC" w:rsidRDefault="002E0CEC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F438CF" w:rsidRDefault="00F438CF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F438CF" w:rsidRDefault="00F438CF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F438CF" w:rsidRPr="00F438CF" w:rsidRDefault="00F438CF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B5135A" w:rsidRPr="00F438CF" w:rsidRDefault="00F438CF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 w:rsidRPr="00F438CF">
        <w:rPr>
          <w:rFonts w:asciiTheme="minorEastAsia" w:eastAsiaTheme="minorEastAsia" w:hAnsiTheme="minorEastAsia" w:hint="eastAsia"/>
          <w:sz w:val="21"/>
          <w:szCs w:val="21"/>
        </w:rPr>
        <w:t>两汉人民创造了灿烂的历史与文化，其中许多解除人物的昂扬进取、不屈不挠的斗志，给后世留下了宝贵的精神财富。司马迁“究天人之际，通古今之变，成一家之言”的志向，霍去病“匈奴未灭，无以家为”的壮志，张骞“凿空”的勇气，苏武绝不“屈节辱命”的精神，马援“马革裹尸”的情怀，班超“投笔从戎”“立功绝域”的追求，脍炙人口，广为流传，熔铸为中华优秀传统文化的组成部分。</w:t>
      </w:r>
    </w:p>
    <w:p w:rsidR="00B5135A" w:rsidRDefault="00F438CF" w:rsidP="00F438CF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F438CF">
        <w:rPr>
          <w:rFonts w:asciiTheme="minorEastAsia" w:eastAsiaTheme="minorEastAsia" w:hAnsiTheme="minorEastAsia" w:hint="eastAsia"/>
          <w:b/>
          <w:bCs/>
          <w:sz w:val="21"/>
          <w:szCs w:val="21"/>
        </w:rPr>
        <w:t>查阅相关资料，进一步了解这些历史人物的事迹，感悟他们的家国情怀，写出对于你的启示。</w:t>
      </w:r>
    </w:p>
    <w:p w:rsidR="00F438CF" w:rsidRDefault="00F438CF" w:rsidP="00F438CF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:rsidR="00AC6ACB" w:rsidRDefault="00AC6ACB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</w:p>
    <w:p w:rsidR="00BE415C" w:rsidRDefault="00BE415C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</w:p>
    <w:p w:rsidR="00BE415C" w:rsidRDefault="00BE415C" w:rsidP="00BE415C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>【拓展作业】</w:t>
      </w:r>
    </w:p>
    <w:p w:rsidR="00BE415C" w:rsidRPr="00C63AFD" w:rsidRDefault="00BE415C" w:rsidP="00BE415C">
      <w:pPr>
        <w:spacing w:line="300" w:lineRule="auto"/>
        <w:ind w:left="420"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1</w:t>
      </w:r>
      <w:r w:rsidRPr="00C63AFD">
        <w:rPr>
          <w:rFonts w:asciiTheme="minorEastAsia" w:eastAsiaTheme="minorEastAsia" w:hAnsiTheme="minorEastAsia" w:cstheme="minorEastAsia" w:hint="eastAsia"/>
          <w:sz w:val="21"/>
          <w:szCs w:val="21"/>
        </w:rPr>
        <w:t>.汉承秦制，但其也在制度上有其创新之处。</w:t>
      </w:r>
      <w:r w:rsidRPr="00C63AFD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阅读材料，完成下列要求。</w:t>
      </w:r>
    </w:p>
    <w:p w:rsidR="00BE415C" w:rsidRPr="00C63AFD" w:rsidRDefault="00BE415C" w:rsidP="00BE415C">
      <w:pPr>
        <w:spacing w:line="300" w:lineRule="auto"/>
        <w:ind w:left="422" w:firstLineChars="200" w:firstLine="422"/>
        <w:rPr>
          <w:rFonts w:ascii="楷体" w:eastAsia="楷体" w:hAnsi="楷体" w:cs="宋体"/>
          <w:sz w:val="21"/>
          <w:szCs w:val="21"/>
        </w:rPr>
      </w:pPr>
      <w:r w:rsidRPr="00C63AFD">
        <w:rPr>
          <w:rFonts w:ascii="楷体" w:eastAsia="楷体" w:hAnsi="楷体" w:cstheme="minorEastAsia" w:hint="eastAsia"/>
          <w:b/>
          <w:sz w:val="21"/>
          <w:szCs w:val="21"/>
        </w:rPr>
        <w:t>材料</w:t>
      </w:r>
      <w:r w:rsidRPr="00C63AFD">
        <w:rPr>
          <w:rFonts w:ascii="楷体" w:eastAsia="楷体" w:hAnsi="楷体" w:cstheme="minorEastAsia" w:hint="eastAsia"/>
          <w:sz w:val="21"/>
          <w:szCs w:val="21"/>
        </w:rPr>
        <w:t xml:space="preserve">  刺史即是</w:t>
      </w:r>
      <w:proofErr w:type="gramStart"/>
      <w:r w:rsidRPr="00C63AFD">
        <w:rPr>
          <w:rFonts w:ascii="楷体" w:eastAsia="楷体" w:hAnsi="楷体" w:cstheme="minorEastAsia" w:hint="eastAsia"/>
          <w:sz w:val="21"/>
          <w:szCs w:val="21"/>
        </w:rPr>
        <w:t>刺举不法</w:t>
      </w:r>
      <w:proofErr w:type="gramEnd"/>
      <w:r w:rsidRPr="00C63AFD">
        <w:rPr>
          <w:rFonts w:ascii="楷体" w:eastAsia="楷体" w:hAnsi="楷体" w:cstheme="minorEastAsia" w:hint="eastAsia"/>
          <w:sz w:val="21"/>
          <w:szCs w:val="21"/>
        </w:rPr>
        <w:t>之人。汉武帝</w:t>
      </w:r>
      <w:proofErr w:type="gramStart"/>
      <w:r w:rsidRPr="00C63AFD">
        <w:rPr>
          <w:rFonts w:ascii="楷体" w:eastAsia="楷体" w:hAnsi="楷体" w:cstheme="minorEastAsia" w:hint="eastAsia"/>
          <w:sz w:val="21"/>
          <w:szCs w:val="21"/>
        </w:rPr>
        <w:t>时称部刺史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……</w:t>
      </w:r>
      <w:r w:rsidRPr="00C63AFD">
        <w:rPr>
          <w:rFonts w:ascii="楷体" w:eastAsia="楷体" w:hAnsi="楷体" w:cstheme="minorEastAsia" w:hint="eastAsia"/>
          <w:sz w:val="21"/>
          <w:szCs w:val="21"/>
        </w:rPr>
        <w:t>将全国划分为十三个部（州）</w:t>
      </w:r>
      <w:r w:rsidRPr="00C63AFD">
        <w:rPr>
          <w:rFonts w:ascii="楷体" w:eastAsia="楷体" w:hAnsi="楷体" w:cs="宋体" w:hint="eastAsia"/>
          <w:sz w:val="21"/>
          <w:szCs w:val="21"/>
        </w:rPr>
        <w:t>……每部（州）包括若干个郡，刺史</w:t>
      </w:r>
      <w:proofErr w:type="gramStart"/>
      <w:r w:rsidRPr="00C63AFD">
        <w:rPr>
          <w:rFonts w:ascii="楷体" w:eastAsia="楷体" w:hAnsi="楷体" w:cs="宋体" w:hint="eastAsia"/>
          <w:sz w:val="21"/>
          <w:szCs w:val="21"/>
        </w:rPr>
        <w:t>分部周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行督察，年终返京奏报……刺史没有常设的办事机构，走到哪里便临时设“治所”或“所止理事处”……刺史作为中央政权派遣的监察特使，，其具体职责从一开始就有明文规定，即“六条问事”……对于郡国诸侯王的行为一经查出有违法之处，便可奏报皇帝……刺史不察小吏，专察大吏，不光举劾奏报，还</w:t>
      </w:r>
      <w:proofErr w:type="gramStart"/>
      <w:r w:rsidRPr="00C63AFD">
        <w:rPr>
          <w:rFonts w:ascii="楷体" w:eastAsia="楷体" w:hAnsi="楷体" w:cs="宋体" w:hint="eastAsia"/>
          <w:sz w:val="21"/>
          <w:szCs w:val="21"/>
        </w:rPr>
        <w:t>可以贬退大吏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……刺史受中央</w:t>
      </w:r>
      <w:proofErr w:type="gramStart"/>
      <w:r w:rsidRPr="00C63AFD">
        <w:rPr>
          <w:rFonts w:ascii="楷体" w:eastAsia="楷体" w:hAnsi="楷体" w:cs="宋体" w:hint="eastAsia"/>
          <w:sz w:val="21"/>
          <w:szCs w:val="21"/>
        </w:rPr>
        <w:t>御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史中丞直接管辖……地位并不高，属下大夫，待遇也不丰厚，每年</w:t>
      </w:r>
      <w:proofErr w:type="gramStart"/>
      <w:r w:rsidRPr="00C63AFD">
        <w:rPr>
          <w:rFonts w:ascii="楷体" w:eastAsia="楷体" w:hAnsi="楷体" w:cs="宋体" w:hint="eastAsia"/>
          <w:sz w:val="21"/>
          <w:szCs w:val="21"/>
        </w:rPr>
        <w:t>秩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六百石……刺史所监察的对象却远远高出自身的地位，可以监察二千石的官吏。</w:t>
      </w:r>
    </w:p>
    <w:p w:rsidR="00BE415C" w:rsidRPr="00C63AFD" w:rsidRDefault="00BE415C" w:rsidP="00BE415C">
      <w:pPr>
        <w:spacing w:line="300" w:lineRule="auto"/>
        <w:ind w:left="422" w:firstLineChars="200" w:firstLine="420"/>
        <w:jc w:val="right"/>
        <w:rPr>
          <w:rFonts w:ascii="楷体" w:eastAsia="楷体" w:hAnsi="楷体" w:cs="宋体"/>
          <w:sz w:val="21"/>
          <w:szCs w:val="21"/>
        </w:rPr>
      </w:pPr>
      <w:r w:rsidRPr="00C63AFD">
        <w:rPr>
          <w:rFonts w:ascii="楷体" w:eastAsia="楷体" w:hAnsi="楷体" w:cs="宋体" w:hint="eastAsia"/>
          <w:sz w:val="21"/>
          <w:szCs w:val="21"/>
        </w:rPr>
        <w:t xml:space="preserve"> ——</w:t>
      </w:r>
      <w:proofErr w:type="gramStart"/>
      <w:r w:rsidRPr="00C63AFD">
        <w:rPr>
          <w:rFonts w:ascii="楷体" w:eastAsia="楷体" w:hAnsi="楷体" w:cs="宋体" w:hint="eastAsia"/>
          <w:sz w:val="21"/>
          <w:szCs w:val="21"/>
        </w:rPr>
        <w:t>窦重山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《浅论刺史制度的产生及其演变过程》</w:t>
      </w:r>
    </w:p>
    <w:p w:rsidR="00BE415C" w:rsidRPr="00C63AFD" w:rsidRDefault="00BE415C" w:rsidP="00BE415C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（1）依据材料，指出汉武帝时部刺史的特点及其工作内容。</w:t>
      </w:r>
    </w:p>
    <w:p w:rsidR="00BE415C" w:rsidRPr="00C63AFD" w:rsidRDefault="00BE415C" w:rsidP="00BE415C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</w:p>
    <w:p w:rsidR="00BE415C" w:rsidRPr="00C63AFD" w:rsidRDefault="00BE415C" w:rsidP="00BE415C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</w:p>
    <w:p w:rsidR="00BE415C" w:rsidRPr="00C63AFD" w:rsidRDefault="00BE415C" w:rsidP="00BE415C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（2）依据材料，结合所学知识，概括汉武帝</w:t>
      </w:r>
      <w:proofErr w:type="gramStart"/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设立部</w:t>
      </w:r>
      <w:proofErr w:type="gramEnd"/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刺史的主要目的及其意义。</w:t>
      </w:r>
    </w:p>
    <w:p w:rsidR="00BE415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bCs/>
          <w:sz w:val="21"/>
          <w:szCs w:val="21"/>
        </w:rPr>
      </w:pPr>
    </w:p>
    <w:p w:rsidR="00BE415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bCs/>
          <w:sz w:val="21"/>
          <w:szCs w:val="21"/>
        </w:rPr>
      </w:pPr>
    </w:p>
    <w:p w:rsidR="00BE415C" w:rsidRPr="003C1B3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bCs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sz w:val="21"/>
          <w:szCs w:val="21"/>
        </w:rPr>
        <w:t>1</w:t>
      </w:r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.（1）特点：官卑而权重；由中央派遣并直接管辖；职责有明文规定；无常设办事机构。</w:t>
      </w:r>
    </w:p>
    <w:p w:rsidR="00BE415C" w:rsidRPr="003C1B3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工作内容：每年分部巡视督察，年终返京奏报；专察大吏，可以举劾奏报、</w:t>
      </w:r>
      <w:proofErr w:type="gramStart"/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贬退大吏</w:t>
      </w:r>
      <w:proofErr w:type="gramEnd"/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。</w:t>
      </w:r>
    </w:p>
    <w:p w:rsidR="00BE415C" w:rsidRPr="003C1B3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bCs/>
          <w:sz w:val="21"/>
          <w:szCs w:val="21"/>
        </w:rPr>
      </w:pPr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（2）目的：监察地方官员，抑制地方权势的扩大，维护中央权威。</w:t>
      </w:r>
    </w:p>
    <w:p w:rsidR="00BE415C" w:rsidRPr="003C1B3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意义：加强了中央集权，有利于国家统一；整顿了吏治，有利于社会秩序的稳定</w:t>
      </w:r>
      <w:r w:rsidRPr="003C1B3C">
        <w:rPr>
          <w:rFonts w:asciiTheme="minorEastAsia" w:eastAsiaTheme="minorEastAsia" w:hAnsiTheme="minorEastAsia" w:cs="宋体" w:hint="eastAsia"/>
          <w:sz w:val="21"/>
          <w:szCs w:val="21"/>
        </w:rPr>
        <w:t>。</w:t>
      </w:r>
    </w:p>
    <w:p w:rsidR="00BE415C" w:rsidRPr="002E05E7" w:rsidRDefault="00BE415C" w:rsidP="00BE415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BE415C" w:rsidRPr="00BE415C" w:rsidRDefault="00BE415C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sectPr w:rsidR="00BE415C" w:rsidRPr="00BE4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319" w:h="14571"/>
      <w:pgMar w:top="567" w:right="567" w:bottom="567" w:left="567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B0" w:rsidRDefault="00DC65B0" w:rsidP="002E0CEC">
      <w:pPr>
        <w:ind w:left="440" w:hanging="440"/>
      </w:pPr>
      <w:r>
        <w:separator/>
      </w:r>
    </w:p>
  </w:endnote>
  <w:endnote w:type="continuationSeparator" w:id="0">
    <w:p w:rsidR="00DC65B0" w:rsidRDefault="00DC65B0" w:rsidP="002E0CEC">
      <w:pPr>
        <w:ind w:left="440" w:hanging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8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553494"/>
      <w:docPartObj>
        <w:docPartGallery w:val="Page Numbers (Bottom of Page)"/>
        <w:docPartUnique/>
      </w:docPartObj>
    </w:sdtPr>
    <w:sdtContent>
      <w:p w:rsidR="00BE415C" w:rsidRDefault="00BE415C" w:rsidP="00BE415C">
        <w:pPr>
          <w:pStyle w:val="a8"/>
          <w:ind w:left="360" w:hanging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415C">
          <w:rPr>
            <w:noProof/>
            <w:lang w:val="zh-CN"/>
          </w:rPr>
          <w:t>1</w:t>
        </w:r>
        <w:r>
          <w:fldChar w:fldCharType="end"/>
        </w:r>
      </w:p>
    </w:sdtContent>
  </w:sdt>
  <w:p w:rsidR="002E0CEC" w:rsidRDefault="002E0CEC" w:rsidP="002E0CEC">
    <w:pPr>
      <w:pStyle w:val="a8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8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B0" w:rsidRDefault="00DC65B0" w:rsidP="002E0CEC">
      <w:pPr>
        <w:ind w:left="440" w:hanging="440"/>
      </w:pPr>
      <w:r>
        <w:separator/>
      </w:r>
    </w:p>
  </w:footnote>
  <w:footnote w:type="continuationSeparator" w:id="0">
    <w:p w:rsidR="00DC65B0" w:rsidRDefault="00DC65B0" w:rsidP="002E0CEC">
      <w:pPr>
        <w:ind w:left="440" w:hanging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7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7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7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662BB"/>
    <w:multiLevelType w:val="singleLevel"/>
    <w:tmpl w:val="B4B662B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9E"/>
    <w:rsid w:val="00080F6C"/>
    <w:rsid w:val="000F5452"/>
    <w:rsid w:val="00122DDA"/>
    <w:rsid w:val="00297AB1"/>
    <w:rsid w:val="002D2F26"/>
    <w:rsid w:val="002E0CEC"/>
    <w:rsid w:val="00323B43"/>
    <w:rsid w:val="003D37D8"/>
    <w:rsid w:val="004358AB"/>
    <w:rsid w:val="00523F23"/>
    <w:rsid w:val="00574F23"/>
    <w:rsid w:val="00587767"/>
    <w:rsid w:val="006D562A"/>
    <w:rsid w:val="008B7726"/>
    <w:rsid w:val="00970075"/>
    <w:rsid w:val="009D2152"/>
    <w:rsid w:val="00A9019E"/>
    <w:rsid w:val="00AC6ACB"/>
    <w:rsid w:val="00AE424E"/>
    <w:rsid w:val="00B04367"/>
    <w:rsid w:val="00B5135A"/>
    <w:rsid w:val="00BE415C"/>
    <w:rsid w:val="00CD7AE9"/>
    <w:rsid w:val="00CE3561"/>
    <w:rsid w:val="00DC65B0"/>
    <w:rsid w:val="00E40B77"/>
    <w:rsid w:val="00E569C3"/>
    <w:rsid w:val="00E62B86"/>
    <w:rsid w:val="00F438CF"/>
    <w:rsid w:val="59E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ind w:left="200" w:hangingChars="200" w:hanging="200"/>
      <w:jc w:val="both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2E0C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E0CEC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E0CE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E0CEC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ind w:left="200" w:hangingChars="200" w:hanging="200"/>
      <w:jc w:val="both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2E0C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E0CEC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E0CE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E0CEC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aike.baidu.com/item/%E4%B8%96%E7%95%8C%E9%81%97%E4%BA%A7%E5%90%8D%E5%BD%95/61745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8%89%AF%E6%B8%9A%E9%81%97%E5%9D%80/1548664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user</cp:lastModifiedBy>
  <cp:revision>7</cp:revision>
  <dcterms:created xsi:type="dcterms:W3CDTF">2020-01-08T00:40:00Z</dcterms:created>
  <dcterms:modified xsi:type="dcterms:W3CDTF">2020-02-07T04:14:00Z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