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t>以分式的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加减</w:t>
      </w:r>
      <w:r>
        <w:rPr>
          <w:rFonts w:hint="eastAsia" w:ascii="宋体" w:hAnsi="宋体" w:eastAsia="宋体" w:cs="宋体"/>
          <w:b/>
          <w:sz w:val="28"/>
          <w:szCs w:val="28"/>
        </w:rPr>
        <w:t>运算为例谈运算能力的提升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拓展体验资源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通过前面微课的学习，同学们已经能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体会在代数运算的学习中，要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加深对算理的理解，感悟知识之间的联系.在实际运算过程中，要明确运算流程，理解运用算理，解决具体问题，提升运算能力</w:t>
      </w:r>
      <w:r>
        <w:rPr>
          <w:rFonts w:hint="eastAsia" w:ascii="宋体" w:hAnsi="宋体" w:eastAsia="宋体" w:cs="宋体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6805295</wp:posOffset>
                </wp:positionH>
                <wp:positionV relativeFrom="paragraph">
                  <wp:posOffset>933450</wp:posOffset>
                </wp:positionV>
                <wp:extent cx="2633345" cy="5262245"/>
                <wp:effectExtent l="0" t="0" r="0" b="0"/>
                <wp:wrapNone/>
                <wp:docPr id="12905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662" cy="52625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overflowPunct w:val="0"/>
                              <w:spacing w:line="360" w:lineRule="auto"/>
                              <w:ind w:left="0"/>
                              <w:jc w:val="center"/>
                            </w:pPr>
                            <w:r>
                              <w:rPr>
                                <w:rFonts w:ascii="黑体" w:eastAsia="黑体" w:hAnsiTheme="minorBidi"/>
                                <w:b/>
                                <w:color w:val="FF0000"/>
                                <w:kern w:val="24"/>
                                <w:sz w:val="64"/>
                                <w:szCs w:val="64"/>
                              </w:rPr>
                              <w:t>观察</w:t>
                            </w:r>
                            <w:r>
                              <w:rPr>
                                <w:rFonts w:ascii="黑体" w:eastAsia="黑体" w:hAnsiTheme="minorBidi"/>
                                <w:b/>
                                <w:color w:val="153973"/>
                                <w:kern w:val="24"/>
                                <w:sz w:val="64"/>
                                <w:szCs w:val="64"/>
                              </w:rPr>
                              <w:t>题目特征</w:t>
                            </w:r>
                          </w:p>
                          <w:p>
                            <w:pPr>
                              <w:pStyle w:val="2"/>
                              <w:overflowPunct w:val="0"/>
                              <w:spacing w:line="360" w:lineRule="auto"/>
                              <w:ind w:left="0"/>
                              <w:jc w:val="center"/>
                            </w:pPr>
                          </w:p>
                          <w:p>
                            <w:pPr>
                              <w:pStyle w:val="2"/>
                              <w:overflowPunct w:val="0"/>
                              <w:spacing w:line="360" w:lineRule="auto"/>
                              <w:ind w:left="0"/>
                              <w:jc w:val="center"/>
                            </w:pPr>
                            <w:r>
                              <w:rPr>
                                <w:rFonts w:ascii="黑体" w:eastAsia="黑体" w:hAnsiTheme="minorBidi"/>
                                <w:b/>
                                <w:color w:val="FF0000"/>
                                <w:kern w:val="24"/>
                                <w:sz w:val="64"/>
                                <w:szCs w:val="64"/>
                              </w:rPr>
                              <w:t>判断</w:t>
                            </w:r>
                            <w:r>
                              <w:rPr>
                                <w:rFonts w:ascii="黑体" w:eastAsia="黑体" w:hAnsiTheme="minorBidi"/>
                                <w:b/>
                                <w:color w:val="153973"/>
                                <w:kern w:val="24"/>
                                <w:sz w:val="64"/>
                                <w:szCs w:val="64"/>
                              </w:rPr>
                              <w:t>运算类型</w:t>
                            </w:r>
                          </w:p>
                          <w:p>
                            <w:pPr>
                              <w:pStyle w:val="2"/>
                              <w:overflowPunct w:val="0"/>
                              <w:spacing w:line="360" w:lineRule="auto"/>
                              <w:ind w:left="0"/>
                              <w:jc w:val="center"/>
                            </w:pPr>
                          </w:p>
                          <w:p>
                            <w:pPr>
                              <w:pStyle w:val="2"/>
                              <w:overflowPunct w:val="0"/>
                              <w:spacing w:line="360" w:lineRule="auto"/>
                              <w:ind w:left="0"/>
                              <w:jc w:val="center"/>
                            </w:pPr>
                            <w:r>
                              <w:rPr>
                                <w:rFonts w:ascii="黑体" w:eastAsia="黑体" w:hAnsiTheme="minorBidi"/>
                                <w:b/>
                                <w:color w:val="FF0000"/>
                                <w:kern w:val="24"/>
                                <w:sz w:val="64"/>
                                <w:szCs w:val="64"/>
                              </w:rPr>
                              <w:t>灵活</w:t>
                            </w:r>
                            <w:r>
                              <w:rPr>
                                <w:rFonts w:ascii="黑体" w:eastAsia="黑体" w:hAnsiTheme="minorBidi"/>
                                <w:b/>
                                <w:color w:val="153973"/>
                                <w:kern w:val="24"/>
                                <w:sz w:val="64"/>
                                <w:szCs w:val="64"/>
                              </w:rPr>
                              <w:t>运用法则</w:t>
                            </w:r>
                          </w:p>
                          <w:p>
                            <w:pPr>
                              <w:pStyle w:val="2"/>
                              <w:overflowPunct w:val="0"/>
                              <w:spacing w:line="360" w:lineRule="auto"/>
                              <w:ind w:left="0"/>
                              <w:jc w:val="center"/>
                            </w:pPr>
                          </w:p>
                          <w:p>
                            <w:pPr>
                              <w:pStyle w:val="2"/>
                              <w:overflowPunct w:val="0"/>
                              <w:spacing w:line="360" w:lineRule="auto"/>
                              <w:ind w:left="0"/>
                              <w:jc w:val="center"/>
                            </w:pPr>
                            <w:r>
                              <w:rPr>
                                <w:rFonts w:ascii="黑体" w:eastAsia="黑体" w:hAnsiTheme="minorBidi"/>
                                <w:b/>
                                <w:color w:val="FF0000"/>
                                <w:kern w:val="24"/>
                                <w:sz w:val="64"/>
                                <w:szCs w:val="64"/>
                              </w:rPr>
                              <w:t>提升</w:t>
                            </w:r>
                            <w:r>
                              <w:rPr>
                                <w:rFonts w:ascii="黑体" w:eastAsia="黑体" w:hAnsiTheme="minorBidi"/>
                                <w:b/>
                                <w:color w:val="153973"/>
                                <w:kern w:val="24"/>
                                <w:position w:val="-24"/>
                                <w:sz w:val="64"/>
                                <w:szCs w:val="64"/>
                              </w:rPr>
                              <w:t>运</w:t>
                            </w:r>
                            <w:r>
                              <w:rPr>
                                <w:rFonts w:ascii="黑体" w:eastAsia="黑体" w:hAnsiTheme="minorBidi"/>
                                <w:b/>
                                <w:color w:val="153973"/>
                                <w:kern w:val="24"/>
                                <w:sz w:val="64"/>
                                <w:szCs w:val="64"/>
                              </w:rPr>
                              <w:t>算能力</w:t>
                            </w:r>
                          </w:p>
                        </w:txbxContent>
                      </wps:txbx>
                      <wps:bodyPr wrap="non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535.85pt;margin-top:73.5pt;height:414.35pt;width:207.35pt;mso-wrap-style:none;z-index:251662336;mso-width-relative:page;mso-height-relative:page;" filled="f" stroked="f" coordsize="21600,21600" o:gfxdata="UEsDBAoAAAAAAIdO4kAAAAAAAAAAAAAAAAAEAAAAZHJzL1BLAwQUAAAACACHTuJAyFj/s9gAAAAN&#10;AQAADwAAAGRycy9kb3ducmV2LnhtbE2Py07DMBBF90j8gzVI7KidKq3TNE4XBdZA4QPceBqHxHYU&#10;uw/4eqYrupurObqPanNxAzvhFLvgFWQzAQx9E0znWwVfn69PBbCYtDd6CB4V/GCETX1/V+nShLP/&#10;wNMutYxMfCy1ApvSWHIeG4tOx1kY0dPvECanE8mp5WbSZzJ3A58LseROd54SrB5xa7Hpd0enoBDu&#10;re9X8/fo8t9sYbfP4WX8VurxIRNrYAkv6R+Ga32qDjV12oejN5ENpIXMJLF05ZJWXZG8WObA9gpW&#10;ciGB1xW/XVH/AVBLAwQUAAAACACHTuJANTIOk7ABAAA0AwAADgAAAGRycy9lMm9Eb2MueG1srVJL&#10;btswEN0H6B0I7mMpMiQ0guWgQZBuirZAkgPQFGkRIDkEyVjyBdobdNVN9zmXz5Eh5ThFswu64Wc+&#10;b+bNm9XVZDTZCR8U2I5eLEpKhOXQK7vt6MP97flHSkJktmcarOjoXgR6tf5wthpdKyoYQPfCEwSx&#10;oR1dR4cYXVsUgQ/CsLAAJyw6JXjDIn79tug9GxHd6KIqy6YYwffOAxchoPVmdtJ1xpdS8PhNyiAi&#10;0R3F3mI+fT436SzWK9ZuPXOD4sc22Du6MExZLHqCumGRkUev3kAZxT0EkHHBwRQgpeIic0A2F+U/&#10;bO4G5kTmgsMJ7jSm8P9g+dfdd09Uj9pVl2XdUGKZQZ0Ov34efj8d/vwgTZrR6EKLoXcOg+N0DRPG&#10;v9gDGhP1SXqTbiRF0I/T3p8mLKZIOBqrZrlsmooSjr66aqq6WSac4jXd+RA/CzAkPTrqUcI8Wbb7&#10;EuIc+hKSqlm4VVpnGbUlY0cv66rOCScPgmuLNRKJudn0itNmOjLbQL9HYiOuQUct7iklzPIBcE/m&#10;2sF9eoxYKNdPyXPGEROlyQyOa5S0//ufo16Xff0M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Fj/&#10;s9gAAAANAQAADwAAAAAAAAABACAAAAAiAAAAZHJzL2Rvd25yZXYueG1sUEsBAhQAFAAAAAgAh07i&#10;QDUyDpOwAQAANAMAAA4AAAAAAAAAAQAgAAAAJwEAAGRycy9lMm9Eb2MueG1sUEsFBgAAAAAGAAYA&#10;WQEAAEk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overflowPunct w:val="0"/>
                        <w:spacing w:line="360" w:lineRule="auto"/>
                        <w:ind w:left="0"/>
                        <w:jc w:val="center"/>
                      </w:pPr>
                      <w:r>
                        <w:rPr>
                          <w:rFonts w:ascii="黑体" w:eastAsia="黑体" w:hAnsiTheme="minorBidi"/>
                          <w:b/>
                          <w:color w:val="FF0000"/>
                          <w:kern w:val="24"/>
                          <w:sz w:val="64"/>
                          <w:szCs w:val="64"/>
                        </w:rPr>
                        <w:t>观察</w:t>
                      </w:r>
                      <w:r>
                        <w:rPr>
                          <w:rFonts w:ascii="黑体" w:eastAsia="黑体" w:hAnsiTheme="minorBidi"/>
                          <w:b/>
                          <w:color w:val="153973"/>
                          <w:kern w:val="24"/>
                          <w:sz w:val="64"/>
                          <w:szCs w:val="64"/>
                        </w:rPr>
                        <w:t>题目特征</w:t>
                      </w:r>
                    </w:p>
                    <w:p>
                      <w:pPr>
                        <w:pStyle w:val="2"/>
                        <w:overflowPunct w:val="0"/>
                        <w:spacing w:line="360" w:lineRule="auto"/>
                        <w:ind w:left="0"/>
                        <w:jc w:val="center"/>
                      </w:pPr>
                    </w:p>
                    <w:p>
                      <w:pPr>
                        <w:pStyle w:val="2"/>
                        <w:overflowPunct w:val="0"/>
                        <w:spacing w:line="360" w:lineRule="auto"/>
                        <w:ind w:left="0"/>
                        <w:jc w:val="center"/>
                      </w:pPr>
                      <w:r>
                        <w:rPr>
                          <w:rFonts w:ascii="黑体" w:eastAsia="黑体" w:hAnsiTheme="minorBidi"/>
                          <w:b/>
                          <w:color w:val="FF0000"/>
                          <w:kern w:val="24"/>
                          <w:sz w:val="64"/>
                          <w:szCs w:val="64"/>
                        </w:rPr>
                        <w:t>判断</w:t>
                      </w:r>
                      <w:r>
                        <w:rPr>
                          <w:rFonts w:ascii="黑体" w:eastAsia="黑体" w:hAnsiTheme="minorBidi"/>
                          <w:b/>
                          <w:color w:val="153973"/>
                          <w:kern w:val="24"/>
                          <w:sz w:val="64"/>
                          <w:szCs w:val="64"/>
                        </w:rPr>
                        <w:t>运算类型</w:t>
                      </w:r>
                    </w:p>
                    <w:p>
                      <w:pPr>
                        <w:pStyle w:val="2"/>
                        <w:overflowPunct w:val="0"/>
                        <w:spacing w:line="360" w:lineRule="auto"/>
                        <w:ind w:left="0"/>
                        <w:jc w:val="center"/>
                      </w:pPr>
                    </w:p>
                    <w:p>
                      <w:pPr>
                        <w:pStyle w:val="2"/>
                        <w:overflowPunct w:val="0"/>
                        <w:spacing w:line="360" w:lineRule="auto"/>
                        <w:ind w:left="0"/>
                        <w:jc w:val="center"/>
                      </w:pPr>
                      <w:r>
                        <w:rPr>
                          <w:rFonts w:ascii="黑体" w:eastAsia="黑体" w:hAnsiTheme="minorBidi"/>
                          <w:b/>
                          <w:color w:val="FF0000"/>
                          <w:kern w:val="24"/>
                          <w:sz w:val="64"/>
                          <w:szCs w:val="64"/>
                        </w:rPr>
                        <w:t>灵活</w:t>
                      </w:r>
                      <w:r>
                        <w:rPr>
                          <w:rFonts w:ascii="黑体" w:eastAsia="黑体" w:hAnsiTheme="minorBidi"/>
                          <w:b/>
                          <w:color w:val="153973"/>
                          <w:kern w:val="24"/>
                          <w:sz w:val="64"/>
                          <w:szCs w:val="64"/>
                        </w:rPr>
                        <w:t>运用法则</w:t>
                      </w:r>
                    </w:p>
                    <w:p>
                      <w:pPr>
                        <w:pStyle w:val="2"/>
                        <w:overflowPunct w:val="0"/>
                        <w:spacing w:line="360" w:lineRule="auto"/>
                        <w:ind w:left="0"/>
                        <w:jc w:val="center"/>
                      </w:pPr>
                    </w:p>
                    <w:p>
                      <w:pPr>
                        <w:pStyle w:val="2"/>
                        <w:overflowPunct w:val="0"/>
                        <w:spacing w:line="360" w:lineRule="auto"/>
                        <w:ind w:left="0"/>
                        <w:jc w:val="center"/>
                      </w:pPr>
                      <w:r>
                        <w:rPr>
                          <w:rFonts w:ascii="黑体" w:eastAsia="黑体" w:hAnsiTheme="minorBidi"/>
                          <w:b/>
                          <w:color w:val="FF0000"/>
                          <w:kern w:val="24"/>
                          <w:sz w:val="64"/>
                          <w:szCs w:val="64"/>
                        </w:rPr>
                        <w:t>提升</w:t>
                      </w:r>
                      <w:r>
                        <w:rPr>
                          <w:rFonts w:ascii="黑体" w:eastAsia="黑体" w:hAnsiTheme="minorBidi"/>
                          <w:b/>
                          <w:color w:val="153973"/>
                          <w:kern w:val="24"/>
                          <w:position w:val="-24"/>
                          <w:sz w:val="64"/>
                          <w:szCs w:val="64"/>
                        </w:rPr>
                        <w:t>运</w:t>
                      </w:r>
                      <w:r>
                        <w:rPr>
                          <w:rFonts w:ascii="黑体" w:eastAsia="黑体" w:hAnsiTheme="minorBidi"/>
                          <w:b/>
                          <w:color w:val="153973"/>
                          <w:kern w:val="24"/>
                          <w:sz w:val="64"/>
                          <w:szCs w:val="64"/>
                        </w:rPr>
                        <w:t>算能力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相信你对于数式运算，会有更多的理解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bCs/>
          <w:sz w:val="24"/>
          <w:szCs w:val="24"/>
        </w:rPr>
        <w:t>下面我们一起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完成两个活动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活动1 （编题游戏）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293370</wp:posOffset>
                </wp:positionV>
                <wp:extent cx="5038725" cy="352425"/>
                <wp:effectExtent l="6350" t="6350" r="2222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0610" y="3070860"/>
                          <a:ext cx="503872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7pt;margin-top:23.1pt;height:27.75pt;width:396.75pt;z-index:251663360;v-text-anchor:middle;mso-width-relative:page;mso-height-relative:page;" filled="f" stroked="t" coordsize="21600,21600" o:gfxdata="UEsDBAoAAAAAAIdO4kAAAAAAAAAAAAAAAAAEAAAAZHJzL1BLAwQUAAAACACHTuJAmAOjTdkAAAAK&#10;AQAADwAAAGRycy9kb3ducmV2LnhtbE2Pu07EMBBFeyT+wRokul3bUfahEGeLIAoEEmKhoZuNTRKI&#10;x5HtJMvfYyq2HN2je8+Uh7Md2Gx86B0pkGsBzFDjdE+tgve3h9UeWIhIGgdHRsGPCXCorq9KLLRb&#10;6NXMx9iyVEKhQAVdjGPBeWg6YzGs3WgoZZ/OW4zp9C3XHpdUbgeeCbHlFntKCx2Opu5M832crIKP&#10;zRd/6esFp+fH+6fN7J2oc6fU7Y0Ud8CiOcd/GP70kzpUyenkJtKBDQpWUuYJVZBvM2AJ2O0zCeyU&#10;SCF3wKuSX75Q/QJQSwMEFAAAAAgAh07iQD/ftMRWAgAAiQQAAA4AAABkcnMvZTJvRG9jLnhtbK1U&#10;224TMRB9R+IfLL/T3aRJE1bdVFGrIqQKKhXEs+P1Zi35hu1kU34GiTc+gs9B/AbH3m0bLk+IPDgz&#10;nuPxzPGZPb84aEX2wgdpTU0nJyUlwnDbSLOt6ft31y+WlITITMOUNaKm9yLQi9XzZ+e9q8TUdlY1&#10;whMkMaHqXU27GF1VFIF3QrNwYp0wCLbWaxbh+m3ReNYju1bFtCzPit76xnnLRQjYvRqCdJXzt63g&#10;8W3bBhGJqilqi3n1ed2ktVids2rrmeskH8tg/1CFZtLg0sdUVywysvPyj1Racm+DbeMJt7qwbSu5&#10;yD2gm0n5Wzd3HXMi9wJygnukKfy/tPzN/tYT2eDtKDFM44l+fP76/dsXMknc9C5UgNy5Wz96AWZq&#10;9NB6nf7RAjngdLkozyZg+L6mp7CXZyO34hAJB2Beni4X0zklPCHm0xlspCyeMjkf4ithNUlGTT3e&#10;LlPK9jchDtAHSLrY2GupFPZZpQzpUcJ0UaIAziCjVrEIUzs0FsyWEqa20CePPqcMVskmHU+ng99u&#10;LpUne5Y0kn9jZb/A0t1XLHQDLocSjFVaRkhYSV3T5fFpZdBeInCgLFkb29yDbm8HHQbHryXS3rAQ&#10;b5mH8FA/him+xdIqi6bsaFHSWf/pb/sJDz0gSkkPIaPhjzvmBSXqtYFSXk5ms6T87MzmiykcfxzZ&#10;HEfMTl9a8AA1oLpsJnxUD2brrf6AmVunWxFihuPugdrRuYzDgGFquVivMwxqdyzemDvHU/LhAde7&#10;aFuZ3/aJnZE06D2rY5zNNFDHfkY9fUFW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YA6NN2QAA&#10;AAoBAAAPAAAAAAAAAAEAIAAAACIAAABkcnMvZG93bnJldi54bWxQSwECFAAUAAAACACHTuJAP9+0&#10;xFYCAACJBAAADgAAAAAAAAABACAAAAAoAQAAZHJzL2Uyb0RvYy54bWxQSwUGAAAAAAYABgBZAQAA&#10;8A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请你尝试在下列整式中，选取几个整式，编写几道分式混合运算题目.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position w:val="-10"/>
          <w:sz w:val="24"/>
          <w:szCs w:val="24"/>
          <w:lang w:val="en-US" w:eastAsia="zh-CN"/>
        </w:rPr>
        <w:object>
          <v:shape id="_x0000_i1025" o:spt="75" type="#_x0000_t75" style="height:23.25pt;width:381.6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要求如下：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1.至少选取6个整式,整式可以重复选用. 2.运算过程不少于5步.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3.运算结果必须为整式.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同学们，在多次尝试后，你对于式子的特征和运算结果之间的关系有哪些理解？快来谈一谈吧！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活动2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在“式”的学习中，我们经常类比“数”进行学习，利用已有知识和经验解决未知问题.例如：我们通过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类比分数运算来学习分式运算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以后当我们面对更为复杂的式子或者包含新的运算的式子时，你能借助分式学习的经验，弄清新运算的算理，探索它的运算规律吗？例如“新定义运算”，你也可以自己去发现一些学习资源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F099A"/>
    <w:rsid w:val="2A844BBE"/>
    <w:rsid w:val="30C364F1"/>
    <w:rsid w:val="499B3CDC"/>
    <w:rsid w:val="5C081FE7"/>
    <w:rsid w:val="62E566FF"/>
    <w:rsid w:val="65AD338E"/>
    <w:rsid w:val="68684779"/>
    <w:rsid w:val="75AA3FA0"/>
    <w:rsid w:val="75F866A3"/>
    <w:rsid w:val="7C0D0F4F"/>
    <w:rsid w:val="7E0C0A24"/>
    <w:rsid w:val="7F4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390</Characters>
  <Lines>0</Lines>
  <Paragraphs>0</Paragraphs>
  <TotalTime>2</TotalTime>
  <ScaleCrop>false</ScaleCrop>
  <LinksUpToDate>false</LinksUpToDate>
  <CharactersWithSpaces>437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云淡风轻</cp:lastModifiedBy>
  <dcterms:modified xsi:type="dcterms:W3CDTF">2020-02-05T01:55:01Z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